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5D" w:rsidRPr="006B285D" w:rsidRDefault="006B285D" w:rsidP="006B285D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   Т</w:t>
      </w:r>
      <w:r w:rsidRPr="006B285D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еррористические и экстремистские организации и материалы</w:t>
      </w:r>
    </w:p>
    <w:p w:rsidR="006B285D" w:rsidRPr="006B285D" w:rsidRDefault="006B285D" w:rsidP="006B285D">
      <w:pPr>
        <w:spacing w:after="300" w:line="240" w:lineRule="auto"/>
        <w:textAlignment w:val="baseline"/>
        <w:outlineLvl w:val="2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tbl>
      <w:tblPr>
        <w:tblW w:w="97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53"/>
        <w:gridCol w:w="4395"/>
      </w:tblGrid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23" w:type="dxa"/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4350" w:type="dxa"/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6B285D" w:rsidRPr="006B285D" w:rsidTr="006B285D">
        <w:trPr>
          <w:trHeight w:val="827"/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4350" w:type="dxa"/>
            <w:vMerge w:val="restart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33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4350" w:type="dxa"/>
            <w:vMerge/>
            <w:shd w:val="clear" w:color="auto" w:fill="F0F0F0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Асбат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«Священная война» («</w:t>
            </w:r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Аль-Джихад</w:t>
            </w:r>
            <w:proofErr w:type="gram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Гамаа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Исламия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vMerge/>
            <w:shd w:val="clear" w:color="auto" w:fill="F0F0F0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Ихван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Муслимун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Хизб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ут-Тахрир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Лашкар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Тайба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0" w:type="dxa"/>
            <w:vMerge/>
            <w:shd w:val="clear" w:color="auto" w:fill="F0F0F0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4350" w:type="dxa"/>
            <w:vMerge/>
            <w:shd w:val="clear" w:color="auto" w:fill="F0F0F0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Ислах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Иджтимаи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Ихья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ат-Тураз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Харамейн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vMerge/>
            <w:shd w:val="clear" w:color="auto" w:fill="F0F0F0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Джунд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4350" w:type="dxa"/>
            <w:vMerge w:val="restart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Имарат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городской суд от 28.06.2013 3-67/2013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городской суд от 17.12.2014, вступило в силу 30.12.2014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Шама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4350" w:type="dxa"/>
            <w:vMerge w:val="restart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Джебхат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(Фронт победы</w:t>
            </w:r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другие названия: 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Джабха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Ахль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4350" w:type="dxa"/>
            <w:vMerge/>
            <w:shd w:val="clear" w:color="auto" w:fill="auto"/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Московский городской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суд</w:t>
            </w:r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18.02.2015, № 3-15/2015, вступило в силу 12.08.2015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Аджр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Субхану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уа</w:t>
            </w:r>
            <w:proofErr w:type="spellEnd"/>
            <w:proofErr w:type="gram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Тагьаля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и милосердного СИРИЯ)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Синрике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AumShinrikyo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Aleph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br/>
              <w:t>от 20.09.2016 № АКПИ 16-915С,</w:t>
            </w: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br/>
              <w:t>вступило в силу 25.10.2016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Валь-Джихад</w:t>
            </w:r>
            <w:proofErr w:type="gram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областной суд, от 28.04.2017 № 3а-453/17, вступило в силу 02.06.2017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Приволжский окружной военный суд, от 23.03.2017 № 1-2/2017,вступил в силу 31.08.2017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Рохнамо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суи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давлати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исломи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суд, от 22.02.2018 № 2-1/2018, вступил в силу 24.07.2018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«Террористическое сообщество «Сеть»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суд, от 17.01.2019 № 2-132/2018, вступил в силу 14.03.2019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Катиба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Таухид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валь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суд, от 05.06.2019 № 2-63/2019, вступил в силу 05.07.2019</w:t>
            </w:r>
          </w:p>
        </w:tc>
      </w:tr>
      <w:tr w:rsidR="006B285D" w:rsidRPr="006B285D" w:rsidTr="006B285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3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(«Организация освобождения Леванта», 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50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B285D" w:rsidRPr="006B285D" w:rsidRDefault="006B285D" w:rsidP="006B285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6B285D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Федерации, от 04.06.2020 № АКПИ20-275С, вступило в силу 20.07.2020</w:t>
            </w:r>
          </w:p>
        </w:tc>
      </w:tr>
    </w:tbl>
    <w:p w:rsidR="006B285D" w:rsidRDefault="006B285D" w:rsidP="006B285D">
      <w:pPr>
        <w:spacing w:after="27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6B285D" w:rsidRPr="006B285D" w:rsidRDefault="006B285D" w:rsidP="006B285D">
      <w:pPr>
        <w:spacing w:after="27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B285D" w:rsidRPr="006B285D" w:rsidRDefault="006B285D" w:rsidP="006B285D">
      <w:pPr>
        <w:spacing w:after="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6B285D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Единый федеральный список организаций, в том числе иностранных и международных организаций, признанных судами Российской Федерации террористическими</w:t>
      </w:r>
    </w:p>
    <w:p w:rsidR="006B285D" w:rsidRPr="006B285D" w:rsidRDefault="006B285D" w:rsidP="006B285D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6B285D" w:rsidRPr="006B285D" w:rsidRDefault="006B285D" w:rsidP="006B285D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B285D"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323900B" wp14:editId="7659B7A1">
            <wp:extent cx="1381125" cy="1333500"/>
            <wp:effectExtent l="0" t="0" r="0" b="0"/>
            <wp:docPr id="1" name="Рисунок 1" descr="http://nac.gov.ru/sites/all/themes/portal/images/fs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c.gov.ru/sites/all/themes/portal/images/fs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5D" w:rsidRPr="006B285D" w:rsidRDefault="006B285D" w:rsidP="006B285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В соответствии с пунктом 5 статьи 24 Федерального закона «О противодействии терроризму» от 6 марта 2006 г. № 35-ФЗ единый федеральный список организаций, в том числе иностранных и международных организаций, признанных судами </w:t>
      </w: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Российской Федерации террористическими, ведет федеральный орган исполнительной власти в области обеспечения безопасности</w:t>
      </w:r>
    </w:p>
    <w:p w:rsidR="006B285D" w:rsidRPr="006B285D" w:rsidRDefault="006B285D" w:rsidP="006B285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Список организаций опубликован на сайте </w:t>
      </w:r>
      <w:hyperlink r:id="rId7" w:tgtFrame="_blank" w:history="1">
        <w:r w:rsidRPr="006B285D">
          <w:rPr>
            <w:rFonts w:ascii="Lato" w:eastAsia="Times New Roman" w:hAnsi="Lato" w:cs="Times New Roman"/>
            <w:color w:val="0F3AF5"/>
            <w:sz w:val="26"/>
            <w:szCs w:val="26"/>
            <w:u w:val="single"/>
            <w:bdr w:val="none" w:sz="0" w:space="0" w:color="auto" w:frame="1"/>
            <w:lang w:eastAsia="ru-RU"/>
          </w:rPr>
          <w:t>ФСБ России</w:t>
        </w:r>
      </w:hyperlink>
    </w:p>
    <w:p w:rsidR="006B285D" w:rsidRPr="006B285D" w:rsidRDefault="006B285D" w:rsidP="006B285D">
      <w:pPr>
        <w:shd w:val="clear" w:color="auto" w:fill="E8E8E8"/>
        <w:spacing w:after="195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6B285D" w:rsidRPr="006B285D" w:rsidRDefault="006B285D" w:rsidP="006B285D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6B285D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Федеральный список экстремистских материалов</w:t>
      </w:r>
    </w:p>
    <w:p w:rsidR="006B285D" w:rsidRPr="006B285D" w:rsidRDefault="006B285D" w:rsidP="006B285D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B285D"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1B13014" wp14:editId="558E1C72">
            <wp:extent cx="1381125" cy="1333500"/>
            <wp:effectExtent l="0" t="0" r="0" b="0"/>
            <wp:docPr id="2" name="Рисунок 2" descr="http://nac.gov.ru/sites/all/themes/portal/images/minu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c.gov.ru/sites/all/themes/portal/images/minu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5D" w:rsidRPr="006B285D" w:rsidRDefault="006B285D" w:rsidP="006B285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соответствии с Федеральным законом «О противодействии экстремистской деятельности» федеральный список экстремистских материалов ведет и публикует </w:t>
      </w:r>
      <w:hyperlink r:id="rId9" w:tgtFrame="_blank" w:history="1">
        <w:r w:rsidRPr="006B285D">
          <w:rPr>
            <w:rFonts w:ascii="Lato" w:eastAsia="Times New Roman" w:hAnsi="Lato" w:cs="Times New Roman"/>
            <w:color w:val="0F3AF5"/>
            <w:sz w:val="26"/>
            <w:szCs w:val="26"/>
            <w:u w:val="single"/>
            <w:bdr w:val="none" w:sz="0" w:space="0" w:color="auto" w:frame="1"/>
            <w:lang w:eastAsia="ru-RU"/>
          </w:rPr>
          <w:t>Минюст России</w:t>
        </w:r>
      </w:hyperlink>
    </w:p>
    <w:p w:rsidR="006B285D" w:rsidRPr="006B285D" w:rsidRDefault="006B285D" w:rsidP="006B285D">
      <w:pPr>
        <w:shd w:val="clear" w:color="auto" w:fill="E8E8E8"/>
        <w:spacing w:after="195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6B285D" w:rsidRPr="006B285D" w:rsidRDefault="006B285D" w:rsidP="006B285D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6B285D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Перечень общественных объединений и религиозных организаций, иных некоммерческих организаций, в отношении которых судом принято вступившее в законную силу решение о ликвидации или запрете деятельности</w:t>
      </w:r>
    </w:p>
    <w:p w:rsidR="006B285D" w:rsidRPr="006B285D" w:rsidRDefault="006B285D" w:rsidP="006B285D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6B285D" w:rsidRPr="006B285D" w:rsidRDefault="006B285D" w:rsidP="006B285D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B285D"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A9F35C2" wp14:editId="78DE4AB4">
            <wp:extent cx="1381125" cy="1333500"/>
            <wp:effectExtent l="0" t="0" r="0" b="0"/>
            <wp:docPr id="3" name="Рисунок 3" descr="http://nac.gov.ru/sites/all/themes/portal/images/minu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.gov.ru/sites/all/themes/portal/images/minu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5D" w:rsidRPr="006B285D" w:rsidRDefault="006B285D" w:rsidP="006B285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соответствии с Федеральным законом «О противодействии экстремистской деятельности» перечень общественных объединений и религиозных организаций, иных некоммерческих организаций, в отношении которых судом принято вступившее в законную силу решение о ликвидации или запрете деятельности ведет и публикует </w:t>
      </w:r>
      <w:hyperlink r:id="rId10" w:tgtFrame="_blank" w:history="1">
        <w:r w:rsidRPr="006B285D">
          <w:rPr>
            <w:rFonts w:ascii="Lato" w:eastAsia="Times New Roman" w:hAnsi="Lato" w:cs="Times New Roman"/>
            <w:color w:val="0F3AF5"/>
            <w:sz w:val="26"/>
            <w:szCs w:val="26"/>
            <w:u w:val="single"/>
            <w:bdr w:val="none" w:sz="0" w:space="0" w:color="auto" w:frame="1"/>
            <w:lang w:eastAsia="ru-RU"/>
          </w:rPr>
          <w:t>Минюст России</w:t>
        </w:r>
      </w:hyperlink>
    </w:p>
    <w:p w:rsidR="006B285D" w:rsidRPr="006B285D" w:rsidRDefault="006B285D" w:rsidP="006B285D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6B285D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85D" w:rsidRPr="006B285D" w:rsidRDefault="006B285D" w:rsidP="006B285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 </w:t>
      </w:r>
    </w:p>
    <w:p w:rsidR="006B285D" w:rsidRPr="006B285D" w:rsidRDefault="006B285D" w:rsidP="006B285D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6B285D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6B285D" w:rsidRPr="006B285D" w:rsidRDefault="006B285D" w:rsidP="006B285D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B285D">
        <w:rPr>
          <w:rFonts w:ascii="Lato" w:eastAsia="Times New Roman" w:hAnsi="La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7B4D1C6" wp14:editId="3EE04A75">
            <wp:extent cx="1381125" cy="1333500"/>
            <wp:effectExtent l="0" t="0" r="9525" b="0"/>
            <wp:docPr id="4" name="Рисунок 4" descr="http://nac.gov.ru/sites/default/files/emblema_ro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c.gov.ru/sites/default/files/emblema_ro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5D" w:rsidRPr="006B285D" w:rsidRDefault="006B285D" w:rsidP="006B285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В соответствии со ст. 15.1 Федерального закона «Об информации, информационных технологиях и о защите информации» от 27 июня 2006 г. № 149-ФЗ ведение «Единого реестра» осуществляет </w:t>
      </w:r>
      <w:proofErr w:type="spellStart"/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fldChar w:fldCharType="begin"/>
      </w: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instrText xml:space="preserve"> HYPERLINK "https://eais.rkn.gov.ru/" \t "_blank" </w:instrText>
      </w:r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fldChar w:fldCharType="separate"/>
      </w:r>
      <w:r w:rsidRPr="006B285D">
        <w:rPr>
          <w:rFonts w:ascii="Lato" w:eastAsia="Times New Roman" w:hAnsi="Lato" w:cs="Times New Roman"/>
          <w:color w:val="0F3AF5"/>
          <w:sz w:val="26"/>
          <w:szCs w:val="26"/>
          <w:u w:val="single"/>
          <w:bdr w:val="none" w:sz="0" w:space="0" w:color="auto" w:frame="1"/>
          <w:lang w:eastAsia="ru-RU"/>
        </w:rPr>
        <w:t>Роскомнадзор</w:t>
      </w:r>
      <w:proofErr w:type="spellEnd"/>
      <w:r w:rsidRPr="006B285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fldChar w:fldCharType="end"/>
      </w:r>
    </w:p>
    <w:p w:rsidR="006B285D" w:rsidRPr="006B285D" w:rsidRDefault="006B285D" w:rsidP="006B285D">
      <w:pPr>
        <w:spacing w:after="0" w:line="0" w:lineRule="atLeast"/>
        <w:textAlignment w:val="baseline"/>
        <w:rPr>
          <w:rFonts w:ascii="Lato" w:eastAsia="Times New Roman" w:hAnsi="Lato" w:cs="Times New Roman"/>
          <w:color w:val="000000"/>
          <w:sz w:val="2"/>
          <w:szCs w:val="2"/>
          <w:lang w:eastAsia="ru-RU"/>
        </w:rPr>
      </w:pPr>
    </w:p>
    <w:p w:rsidR="006B285D" w:rsidRPr="006B285D" w:rsidRDefault="006B285D" w:rsidP="006B285D">
      <w:pPr>
        <w:spacing w:after="0" w:line="0" w:lineRule="atLeast"/>
        <w:textAlignment w:val="baseline"/>
        <w:rPr>
          <w:rFonts w:ascii="Lato" w:eastAsia="Times New Roman" w:hAnsi="Lato" w:cs="Times New Roman"/>
          <w:color w:val="000000"/>
          <w:sz w:val="2"/>
          <w:szCs w:val="2"/>
          <w:lang w:eastAsia="ru-RU"/>
        </w:rPr>
      </w:pPr>
    </w:p>
    <w:p w:rsidR="00EB1E6F" w:rsidRPr="006B285D" w:rsidRDefault="00EB1E6F">
      <w:pPr>
        <w:rPr>
          <w:rFonts w:ascii="Times New Roman" w:hAnsi="Times New Roman" w:cs="Times New Roman"/>
          <w:sz w:val="24"/>
          <w:szCs w:val="24"/>
        </w:rPr>
      </w:pPr>
    </w:p>
    <w:sectPr w:rsidR="00EB1E6F" w:rsidRPr="006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2A"/>
    <w:rsid w:val="0047762A"/>
    <w:rsid w:val="006B285D"/>
    <w:rsid w:val="00E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538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29346">
                                                          <w:marLeft w:val="0"/>
                                                          <w:marRight w:val="3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3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87086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201463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0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63156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187137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00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008722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8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0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9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b.ru/fsb/npd/terror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nac.gov.ru/terroristicheskie-i-ekstremistskie-organizacii-i-materialy.html" TargetMode="External"/><Relationship Id="rId10" Type="http://schemas.openxmlformats.org/officeDocument/2006/relationships/hyperlink" Target="http://minjust.ru/nko/perechen_zapr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2020-08-11T15:03:00Z</dcterms:created>
  <dcterms:modified xsi:type="dcterms:W3CDTF">2020-08-11T15:06:00Z</dcterms:modified>
</cp:coreProperties>
</file>